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2B25" w14:textId="38EC6696" w:rsidR="004822A4" w:rsidRDefault="004822A4" w:rsidP="004B7471">
      <w:pPr>
        <w:jc w:val="center"/>
        <w:rPr>
          <w:b/>
          <w:bCs/>
        </w:rPr>
      </w:pPr>
      <w:r>
        <w:rPr>
          <w:noProof/>
        </w:rPr>
        <w:drawing>
          <wp:anchor distT="0" distB="0" distL="114300" distR="114300" simplePos="0" relativeHeight="251658240" behindDoc="0" locked="0" layoutInCell="1" allowOverlap="1" wp14:anchorId="413CCEB7" wp14:editId="5A5AAD09">
            <wp:simplePos x="0" y="0"/>
            <wp:positionH relativeFrom="margin">
              <wp:posOffset>-689338</wp:posOffset>
            </wp:positionH>
            <wp:positionV relativeFrom="paragraph">
              <wp:posOffset>-737417</wp:posOffset>
            </wp:positionV>
            <wp:extent cx="1705429" cy="1018232"/>
            <wp:effectExtent l="0" t="0" r="0" b="0"/>
            <wp:wrapNone/>
            <wp:docPr id="533607337" name="Picture 1" descr="A blue and white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607337" name="Picture 1" descr="A blue and white logo on a black background&#10;&#10;AI-generated content may be incorrect."/>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705429" cy="1018232"/>
                    </a:xfrm>
                    <a:prstGeom prst="rect">
                      <a:avLst/>
                    </a:prstGeom>
                  </pic:spPr>
                </pic:pic>
              </a:graphicData>
            </a:graphic>
            <wp14:sizeRelH relativeFrom="margin">
              <wp14:pctWidth>0</wp14:pctWidth>
            </wp14:sizeRelH>
            <wp14:sizeRelV relativeFrom="margin">
              <wp14:pctHeight>0</wp14:pctHeight>
            </wp14:sizeRelV>
          </wp:anchor>
        </w:drawing>
      </w:r>
    </w:p>
    <w:p w14:paraId="273430C3" w14:textId="77777777" w:rsidR="005F1F94" w:rsidRDefault="005F1F94" w:rsidP="004B7471">
      <w:pPr>
        <w:jc w:val="center"/>
        <w:rPr>
          <w:b/>
          <w:bCs/>
          <w:sz w:val="28"/>
          <w:szCs w:val="28"/>
          <w:u w:val="single"/>
        </w:rPr>
      </w:pPr>
    </w:p>
    <w:p w14:paraId="19A638AB" w14:textId="5E07C454" w:rsidR="00DA3938" w:rsidRPr="004822A4" w:rsidRDefault="004822A4" w:rsidP="004B7471">
      <w:pPr>
        <w:jc w:val="center"/>
        <w:rPr>
          <w:b/>
          <w:bCs/>
          <w:sz w:val="28"/>
          <w:szCs w:val="28"/>
          <w:u w:val="single"/>
        </w:rPr>
      </w:pPr>
      <w:r w:rsidRPr="004822A4">
        <w:rPr>
          <w:b/>
          <w:bCs/>
          <w:sz w:val="28"/>
          <w:szCs w:val="28"/>
          <w:u w:val="single"/>
        </w:rPr>
        <w:t>C</w:t>
      </w:r>
      <w:r w:rsidR="00DA3938" w:rsidRPr="004822A4">
        <w:rPr>
          <w:b/>
          <w:bCs/>
          <w:sz w:val="28"/>
          <w:szCs w:val="28"/>
          <w:u w:val="single"/>
        </w:rPr>
        <w:t>omplex pain clinic for palliative care patients</w:t>
      </w:r>
    </w:p>
    <w:p w14:paraId="3087F1EE" w14:textId="00F497F6" w:rsidR="004B7471" w:rsidRPr="004B7471" w:rsidRDefault="004B7471" w:rsidP="004B7471">
      <w:pPr>
        <w:jc w:val="center"/>
        <w:rPr>
          <w:b/>
          <w:bCs/>
        </w:rPr>
      </w:pPr>
    </w:p>
    <w:p w14:paraId="2523E5E3" w14:textId="6E9E23AF" w:rsidR="00DA3938" w:rsidRPr="005F1F94" w:rsidRDefault="00DA3938" w:rsidP="004B7471">
      <w:pPr>
        <w:jc w:val="center"/>
        <w:rPr>
          <w:b/>
          <w:bCs/>
          <w:sz w:val="28"/>
          <w:szCs w:val="28"/>
        </w:rPr>
      </w:pPr>
      <w:r w:rsidRPr="005F1F94">
        <w:rPr>
          <w:b/>
          <w:bCs/>
          <w:sz w:val="28"/>
          <w:szCs w:val="28"/>
        </w:rPr>
        <w:t xml:space="preserve">How </w:t>
      </w:r>
      <w:r w:rsidR="004B7471" w:rsidRPr="005F1F94">
        <w:rPr>
          <w:b/>
          <w:bCs/>
          <w:sz w:val="28"/>
          <w:szCs w:val="28"/>
        </w:rPr>
        <w:t>does</w:t>
      </w:r>
      <w:r w:rsidRPr="005F1F94">
        <w:rPr>
          <w:b/>
          <w:bCs/>
          <w:sz w:val="28"/>
          <w:szCs w:val="28"/>
        </w:rPr>
        <w:t xml:space="preserve"> it work?</w:t>
      </w:r>
    </w:p>
    <w:p w14:paraId="7AFD918B" w14:textId="43CBE922" w:rsidR="004822A4" w:rsidRDefault="005F1F94">
      <w:pPr>
        <w:rPr>
          <w:b/>
          <w:bCs/>
        </w:rPr>
      </w:pPr>
      <w:r>
        <w:rPr>
          <w:noProof/>
        </w:rPr>
        <w:drawing>
          <wp:anchor distT="0" distB="0" distL="114300" distR="114300" simplePos="0" relativeHeight="251659264" behindDoc="0" locked="0" layoutInCell="1" allowOverlap="1" wp14:anchorId="5A833353" wp14:editId="183F6ADB">
            <wp:simplePos x="0" y="0"/>
            <wp:positionH relativeFrom="margin">
              <wp:align>center</wp:align>
            </wp:positionH>
            <wp:positionV relativeFrom="paragraph">
              <wp:posOffset>162197</wp:posOffset>
            </wp:positionV>
            <wp:extent cx="5486400" cy="3200400"/>
            <wp:effectExtent l="38100" t="38100" r="19050" b="19050"/>
            <wp:wrapNone/>
            <wp:docPr id="183313511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708BFC15" w14:textId="329F1DD2" w:rsidR="004822A4" w:rsidRDefault="004822A4">
      <w:pPr>
        <w:rPr>
          <w:b/>
          <w:bCs/>
        </w:rPr>
      </w:pPr>
    </w:p>
    <w:p w14:paraId="6CE811BB" w14:textId="77777777" w:rsidR="004822A4" w:rsidRDefault="004822A4"/>
    <w:p w14:paraId="1232DEFC" w14:textId="77777777" w:rsidR="004822A4" w:rsidRDefault="004822A4"/>
    <w:p w14:paraId="748CD938" w14:textId="77777777" w:rsidR="004822A4" w:rsidRDefault="004822A4"/>
    <w:p w14:paraId="0287F8AF" w14:textId="77777777" w:rsidR="004822A4" w:rsidRDefault="004822A4"/>
    <w:p w14:paraId="2779A70B" w14:textId="77777777" w:rsidR="004822A4" w:rsidRDefault="004822A4"/>
    <w:p w14:paraId="5A13F713" w14:textId="77777777" w:rsidR="004822A4" w:rsidRDefault="004822A4"/>
    <w:p w14:paraId="056D76E5" w14:textId="77777777" w:rsidR="004822A4" w:rsidRDefault="004822A4"/>
    <w:p w14:paraId="14EAD463" w14:textId="77777777" w:rsidR="004822A4" w:rsidRDefault="004822A4"/>
    <w:p w14:paraId="44E09496" w14:textId="77777777" w:rsidR="004822A4" w:rsidRDefault="004822A4"/>
    <w:p w14:paraId="33F4A803" w14:textId="77777777" w:rsidR="005F1F94" w:rsidRDefault="005F1F94"/>
    <w:p w14:paraId="4F8B601C" w14:textId="786E20FE" w:rsidR="00DA3938" w:rsidRDefault="00DA3938">
      <w:r>
        <w:t>Patients are discharged from the complex pain clinic but can be re-referred if further interventions may help.</w:t>
      </w:r>
    </w:p>
    <w:p w14:paraId="4E053A31" w14:textId="65DCE6ED" w:rsidR="00DA3938" w:rsidRPr="004B7471" w:rsidRDefault="00DA3938" w:rsidP="004B7471">
      <w:pPr>
        <w:jc w:val="center"/>
        <w:rPr>
          <w:b/>
          <w:bCs/>
        </w:rPr>
      </w:pPr>
      <w:r w:rsidRPr="004B7471">
        <w:rPr>
          <w:b/>
          <w:bCs/>
        </w:rPr>
        <w:t>Who might benefit?</w:t>
      </w:r>
    </w:p>
    <w:p w14:paraId="598925E7" w14:textId="12AB27D4" w:rsidR="00DA3938" w:rsidRDefault="00DA3938">
      <w:r>
        <w:t>Interventions like nerve blocks are useful to treat nerve pain.   This might be directly related to a cance</w:t>
      </w:r>
      <w:r w:rsidR="00680772">
        <w:t>r</w:t>
      </w:r>
      <w:r>
        <w:t>, or</w:t>
      </w:r>
      <w:r w:rsidR="000F6BFC">
        <w:t>,</w:t>
      </w:r>
      <w:r w:rsidR="004B7471">
        <w:t xml:space="preserve"> for example</w:t>
      </w:r>
      <w:r w:rsidR="000F6BFC">
        <w:t xml:space="preserve">, </w:t>
      </w:r>
      <w:r>
        <w:t xml:space="preserve">from a back issue unrelated to a life limiting </w:t>
      </w:r>
      <w:r w:rsidR="004B7471">
        <w:t>illness</w:t>
      </w:r>
      <w:r>
        <w:t>.</w:t>
      </w:r>
      <w:r w:rsidR="000F6BFC">
        <w:t xml:space="preserve">  Patients must have a life limiting illness to be eligible for the service.</w:t>
      </w:r>
    </w:p>
    <w:p w14:paraId="60F18CB0" w14:textId="5C24CA91" w:rsidR="00DA3938" w:rsidRPr="004B7471" w:rsidRDefault="00DA3938" w:rsidP="004B7471">
      <w:pPr>
        <w:jc w:val="center"/>
        <w:rPr>
          <w:b/>
          <w:bCs/>
        </w:rPr>
      </w:pPr>
      <w:r w:rsidRPr="004B7471">
        <w:rPr>
          <w:b/>
          <w:bCs/>
        </w:rPr>
        <w:t>When should we refer?</w:t>
      </w:r>
    </w:p>
    <w:p w14:paraId="062D4033" w14:textId="509DC859" w:rsidR="00DA3938" w:rsidRDefault="00DA3938">
      <w:r>
        <w:t xml:space="preserve">Early referral is always beneficial.  Patients </w:t>
      </w:r>
      <w:r w:rsidR="004A1E5A">
        <w:t xml:space="preserve">will need to travel and attend </w:t>
      </w:r>
      <w:r>
        <w:t xml:space="preserve">Musgrove for a procedure.  We can often reduce the analgesia they are on, so earlier referrals are better.  </w:t>
      </w:r>
      <w:r w:rsidR="004B7471">
        <w:t xml:space="preserve">Don’t wait until the medications aren’t helping before considering this option. </w:t>
      </w:r>
    </w:p>
    <w:p w14:paraId="6B71489C" w14:textId="77777777" w:rsidR="005F1F94" w:rsidRDefault="005F1F94" w:rsidP="004B7471">
      <w:pPr>
        <w:jc w:val="center"/>
        <w:rPr>
          <w:b/>
          <w:bCs/>
        </w:rPr>
      </w:pPr>
    </w:p>
    <w:p w14:paraId="11FE5F4D" w14:textId="77777777" w:rsidR="005F1F94" w:rsidRDefault="005F1F94" w:rsidP="004B7471">
      <w:pPr>
        <w:jc w:val="center"/>
        <w:rPr>
          <w:b/>
          <w:bCs/>
        </w:rPr>
      </w:pPr>
    </w:p>
    <w:p w14:paraId="4B1D0D22" w14:textId="73FB7D2F" w:rsidR="00DA3938" w:rsidRPr="004B7471" w:rsidRDefault="00DA3938" w:rsidP="004B7471">
      <w:pPr>
        <w:jc w:val="center"/>
        <w:rPr>
          <w:b/>
          <w:bCs/>
        </w:rPr>
      </w:pPr>
      <w:r w:rsidRPr="004B7471">
        <w:rPr>
          <w:b/>
          <w:bCs/>
        </w:rPr>
        <w:lastRenderedPageBreak/>
        <w:t>How do I refer?</w:t>
      </w:r>
    </w:p>
    <w:p w14:paraId="36A41E5C" w14:textId="1CBB8065" w:rsidR="00DA3938" w:rsidRPr="004822A4" w:rsidRDefault="00DA3938">
      <w:pPr>
        <w:rPr>
          <w:b/>
          <w:bCs/>
        </w:rPr>
      </w:pPr>
      <w:r w:rsidRPr="004822A4">
        <w:rPr>
          <w:b/>
          <w:bCs/>
        </w:rPr>
        <w:t>We need to know</w:t>
      </w:r>
    </w:p>
    <w:p w14:paraId="260C402D" w14:textId="231ABA21" w:rsidR="004822A4" w:rsidRDefault="00DA3938" w:rsidP="004822A4">
      <w:pPr>
        <w:pStyle w:val="ListParagraph"/>
        <w:numPr>
          <w:ilvl w:val="0"/>
          <w:numId w:val="1"/>
        </w:numPr>
      </w:pPr>
      <w:r>
        <w:t>Name</w:t>
      </w:r>
      <w:r w:rsidR="004B7471">
        <w:t xml:space="preserve"> </w:t>
      </w:r>
    </w:p>
    <w:p w14:paraId="182521D0" w14:textId="77777777" w:rsidR="004822A4" w:rsidRDefault="00DA3938" w:rsidP="004822A4">
      <w:pPr>
        <w:pStyle w:val="ListParagraph"/>
        <w:numPr>
          <w:ilvl w:val="0"/>
          <w:numId w:val="1"/>
        </w:numPr>
      </w:pPr>
      <w:r>
        <w:t>MRN/ NHS number</w:t>
      </w:r>
    </w:p>
    <w:p w14:paraId="31122E04" w14:textId="77777777" w:rsidR="004822A4" w:rsidRDefault="00DA3938" w:rsidP="004822A4">
      <w:pPr>
        <w:pStyle w:val="ListParagraph"/>
        <w:numPr>
          <w:ilvl w:val="0"/>
          <w:numId w:val="1"/>
        </w:numPr>
      </w:pPr>
      <w:r>
        <w:t>Diagnosis</w:t>
      </w:r>
    </w:p>
    <w:p w14:paraId="0406D038" w14:textId="77777777" w:rsidR="004822A4" w:rsidRDefault="00DA3938" w:rsidP="004822A4">
      <w:pPr>
        <w:pStyle w:val="ListParagraph"/>
        <w:numPr>
          <w:ilvl w:val="0"/>
          <w:numId w:val="1"/>
        </w:numPr>
      </w:pPr>
      <w:r>
        <w:t>Likely prognosis</w:t>
      </w:r>
    </w:p>
    <w:p w14:paraId="21EC3E94" w14:textId="77777777" w:rsidR="004822A4" w:rsidRDefault="00680DFF" w:rsidP="004822A4">
      <w:pPr>
        <w:pStyle w:val="ListParagraph"/>
        <w:numPr>
          <w:ilvl w:val="0"/>
          <w:numId w:val="1"/>
        </w:numPr>
      </w:pPr>
      <w:r>
        <w:t>AKPS</w:t>
      </w:r>
    </w:p>
    <w:p w14:paraId="16F4CEAC" w14:textId="512D1689" w:rsidR="004822A4" w:rsidRDefault="00DA3938" w:rsidP="004822A4">
      <w:pPr>
        <w:pStyle w:val="ListParagraph"/>
        <w:numPr>
          <w:ilvl w:val="0"/>
          <w:numId w:val="1"/>
        </w:numPr>
      </w:pPr>
      <w:r>
        <w:t>Likely cause of pain</w:t>
      </w:r>
      <w:r w:rsidR="00680DFF">
        <w:t>/ reason for referral</w:t>
      </w:r>
    </w:p>
    <w:p w14:paraId="504A143A" w14:textId="42BBA789" w:rsidR="004822A4" w:rsidRDefault="004822A4" w:rsidP="004822A4">
      <w:pPr>
        <w:pStyle w:val="ListParagraph"/>
        <w:numPr>
          <w:ilvl w:val="0"/>
          <w:numId w:val="1"/>
        </w:numPr>
      </w:pPr>
      <w:r>
        <w:t>P</w:t>
      </w:r>
      <w:r w:rsidR="00680DFF">
        <w:t>ain score</w:t>
      </w:r>
    </w:p>
    <w:p w14:paraId="13311CE7" w14:textId="77777777" w:rsidR="004822A4" w:rsidRDefault="00DA3938" w:rsidP="004822A4">
      <w:pPr>
        <w:pStyle w:val="ListParagraph"/>
        <w:numPr>
          <w:ilvl w:val="0"/>
          <w:numId w:val="1"/>
        </w:numPr>
      </w:pPr>
      <w:r>
        <w:t>Current medications:</w:t>
      </w:r>
    </w:p>
    <w:p w14:paraId="585D520B" w14:textId="77777777" w:rsidR="004822A4" w:rsidRDefault="00DA3938" w:rsidP="004822A4">
      <w:pPr>
        <w:pStyle w:val="ListParagraph"/>
        <w:numPr>
          <w:ilvl w:val="0"/>
          <w:numId w:val="1"/>
        </w:numPr>
      </w:pPr>
      <w:r>
        <w:t>Anticoagulation</w:t>
      </w:r>
    </w:p>
    <w:p w14:paraId="64A94AEF" w14:textId="77777777" w:rsidR="004822A4" w:rsidRDefault="00680DFF" w:rsidP="004822A4">
      <w:pPr>
        <w:pStyle w:val="ListParagraph"/>
        <w:numPr>
          <w:ilvl w:val="0"/>
          <w:numId w:val="1"/>
        </w:numPr>
      </w:pPr>
      <w:r>
        <w:t>Allergies</w:t>
      </w:r>
    </w:p>
    <w:p w14:paraId="2678164E" w14:textId="598B880E" w:rsidR="004B7471" w:rsidRDefault="00680DFF" w:rsidP="004822A4">
      <w:pPr>
        <w:pStyle w:val="ListParagraph"/>
        <w:numPr>
          <w:ilvl w:val="0"/>
          <w:numId w:val="1"/>
        </w:numPr>
      </w:pPr>
      <w:r>
        <w:t>Referrer</w:t>
      </w:r>
      <w:r w:rsidR="004822A4">
        <w:t xml:space="preserve"> and/or </w:t>
      </w:r>
      <w:r>
        <w:t>Presenter</w:t>
      </w:r>
    </w:p>
    <w:p w14:paraId="5A095B84" w14:textId="116B4AE4" w:rsidR="004B7471" w:rsidRDefault="004B7471">
      <w:r>
        <w:t xml:space="preserve">Email the details to </w:t>
      </w:r>
      <w:hyperlink r:id="rId14" w:history="1">
        <w:r w:rsidRPr="009D6544">
          <w:rPr>
            <w:rStyle w:val="Hyperlink"/>
          </w:rPr>
          <w:t>palliativecaresecretaries@somersetft.nhs.uk</w:t>
        </w:r>
      </w:hyperlink>
      <w:r>
        <w:t xml:space="preserve"> and they will be added to the next pain MDT</w:t>
      </w:r>
    </w:p>
    <w:p w14:paraId="5489CB23" w14:textId="77777777" w:rsidR="004B7471" w:rsidRDefault="004B7471"/>
    <w:p w14:paraId="19FC6088" w14:textId="528649E5" w:rsidR="004B7471" w:rsidRPr="004B7471" w:rsidRDefault="004B7471">
      <w:pPr>
        <w:rPr>
          <w:b/>
          <w:bCs/>
        </w:rPr>
      </w:pPr>
      <w:r w:rsidRPr="004B7471">
        <w:rPr>
          <w:b/>
          <w:bCs/>
        </w:rPr>
        <w:t>The MDT counts as CPD so please do join if you would like to learn more.  Everyone is welcome to come and learn.</w:t>
      </w:r>
    </w:p>
    <w:p w14:paraId="62097306" w14:textId="77777777" w:rsidR="004B7471" w:rsidRDefault="004B7471"/>
    <w:p w14:paraId="3DE3AE31" w14:textId="77777777" w:rsidR="004B7471" w:rsidRDefault="004B7471"/>
    <w:p w14:paraId="0277D142" w14:textId="77777777" w:rsidR="00DA3938" w:rsidRDefault="00DA3938"/>
    <w:p w14:paraId="24AF403E" w14:textId="610DBA39" w:rsidR="00DA3938" w:rsidRDefault="00DA3938"/>
    <w:p w14:paraId="3A56849E" w14:textId="30F2EC89" w:rsidR="00DA3938" w:rsidRDefault="00DA3938">
      <w:r>
        <w:t xml:space="preserve"> </w:t>
      </w:r>
    </w:p>
    <w:sectPr w:rsidR="00DA39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95BE" w14:textId="77777777" w:rsidR="00F77E5E" w:rsidRDefault="00F77E5E" w:rsidP="00F77E5E">
      <w:pPr>
        <w:spacing w:after="0" w:line="240" w:lineRule="auto"/>
      </w:pPr>
      <w:r>
        <w:separator/>
      </w:r>
    </w:p>
  </w:endnote>
  <w:endnote w:type="continuationSeparator" w:id="0">
    <w:p w14:paraId="6261C319" w14:textId="77777777" w:rsidR="00F77E5E" w:rsidRDefault="00F77E5E" w:rsidP="00F7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811A" w14:textId="77777777" w:rsidR="00F77E5E" w:rsidRDefault="00F77E5E" w:rsidP="00F77E5E">
      <w:pPr>
        <w:spacing w:after="0" w:line="240" w:lineRule="auto"/>
      </w:pPr>
      <w:r>
        <w:separator/>
      </w:r>
    </w:p>
  </w:footnote>
  <w:footnote w:type="continuationSeparator" w:id="0">
    <w:p w14:paraId="65278DD6" w14:textId="77777777" w:rsidR="00F77E5E" w:rsidRDefault="00F77E5E" w:rsidP="00F77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813"/>
    <w:multiLevelType w:val="hybridMultilevel"/>
    <w:tmpl w:val="54C6AF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06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38"/>
    <w:rsid w:val="00072858"/>
    <w:rsid w:val="000F6BFC"/>
    <w:rsid w:val="0029048F"/>
    <w:rsid w:val="00431706"/>
    <w:rsid w:val="00452443"/>
    <w:rsid w:val="004822A4"/>
    <w:rsid w:val="004A1E5A"/>
    <w:rsid w:val="004B7471"/>
    <w:rsid w:val="005F1F94"/>
    <w:rsid w:val="00680772"/>
    <w:rsid w:val="0068085D"/>
    <w:rsid w:val="00680DFF"/>
    <w:rsid w:val="007F4A17"/>
    <w:rsid w:val="008542E0"/>
    <w:rsid w:val="009B66F6"/>
    <w:rsid w:val="00B55ED3"/>
    <w:rsid w:val="00B7457F"/>
    <w:rsid w:val="00D3694D"/>
    <w:rsid w:val="00DA3938"/>
    <w:rsid w:val="00E92559"/>
    <w:rsid w:val="00F77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7D9F5"/>
  <w15:chartTrackingRefBased/>
  <w15:docId w15:val="{4F1EB2CF-7DCA-4E1C-B4F1-2D5050C1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938"/>
    <w:rPr>
      <w:rFonts w:eastAsiaTheme="majorEastAsia" w:cstheme="majorBidi"/>
      <w:color w:val="272727" w:themeColor="text1" w:themeTint="D8"/>
    </w:rPr>
  </w:style>
  <w:style w:type="paragraph" w:styleId="Title">
    <w:name w:val="Title"/>
    <w:basedOn w:val="Normal"/>
    <w:next w:val="Normal"/>
    <w:link w:val="TitleChar"/>
    <w:uiPriority w:val="10"/>
    <w:qFormat/>
    <w:rsid w:val="00DA3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938"/>
    <w:pPr>
      <w:spacing w:before="160"/>
      <w:jc w:val="center"/>
    </w:pPr>
    <w:rPr>
      <w:i/>
      <w:iCs/>
      <w:color w:val="404040" w:themeColor="text1" w:themeTint="BF"/>
    </w:rPr>
  </w:style>
  <w:style w:type="character" w:customStyle="1" w:styleId="QuoteChar">
    <w:name w:val="Quote Char"/>
    <w:basedOn w:val="DefaultParagraphFont"/>
    <w:link w:val="Quote"/>
    <w:uiPriority w:val="29"/>
    <w:rsid w:val="00DA3938"/>
    <w:rPr>
      <w:i/>
      <w:iCs/>
      <w:color w:val="404040" w:themeColor="text1" w:themeTint="BF"/>
    </w:rPr>
  </w:style>
  <w:style w:type="paragraph" w:styleId="ListParagraph">
    <w:name w:val="List Paragraph"/>
    <w:basedOn w:val="Normal"/>
    <w:uiPriority w:val="34"/>
    <w:qFormat/>
    <w:rsid w:val="00DA3938"/>
    <w:pPr>
      <w:ind w:left="720"/>
      <w:contextualSpacing/>
    </w:pPr>
  </w:style>
  <w:style w:type="character" w:styleId="IntenseEmphasis">
    <w:name w:val="Intense Emphasis"/>
    <w:basedOn w:val="DefaultParagraphFont"/>
    <w:uiPriority w:val="21"/>
    <w:qFormat/>
    <w:rsid w:val="00DA3938"/>
    <w:rPr>
      <w:i/>
      <w:iCs/>
      <w:color w:val="0F4761" w:themeColor="accent1" w:themeShade="BF"/>
    </w:rPr>
  </w:style>
  <w:style w:type="paragraph" w:styleId="IntenseQuote">
    <w:name w:val="Intense Quote"/>
    <w:basedOn w:val="Normal"/>
    <w:next w:val="Normal"/>
    <w:link w:val="IntenseQuoteChar"/>
    <w:uiPriority w:val="30"/>
    <w:qFormat/>
    <w:rsid w:val="00DA3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938"/>
    <w:rPr>
      <w:i/>
      <w:iCs/>
      <w:color w:val="0F4761" w:themeColor="accent1" w:themeShade="BF"/>
    </w:rPr>
  </w:style>
  <w:style w:type="character" w:styleId="IntenseReference">
    <w:name w:val="Intense Reference"/>
    <w:basedOn w:val="DefaultParagraphFont"/>
    <w:uiPriority w:val="32"/>
    <w:qFormat/>
    <w:rsid w:val="00DA3938"/>
    <w:rPr>
      <w:b/>
      <w:bCs/>
      <w:smallCaps/>
      <w:color w:val="0F4761" w:themeColor="accent1" w:themeShade="BF"/>
      <w:spacing w:val="5"/>
    </w:rPr>
  </w:style>
  <w:style w:type="character" w:styleId="Hyperlink">
    <w:name w:val="Hyperlink"/>
    <w:basedOn w:val="DefaultParagraphFont"/>
    <w:uiPriority w:val="99"/>
    <w:unhideWhenUsed/>
    <w:rsid w:val="004B7471"/>
    <w:rPr>
      <w:color w:val="467886" w:themeColor="hyperlink"/>
      <w:u w:val="single"/>
    </w:rPr>
  </w:style>
  <w:style w:type="character" w:styleId="UnresolvedMention">
    <w:name w:val="Unresolved Mention"/>
    <w:basedOn w:val="DefaultParagraphFont"/>
    <w:uiPriority w:val="99"/>
    <w:semiHidden/>
    <w:unhideWhenUsed/>
    <w:rsid w:val="004B7471"/>
    <w:rPr>
      <w:color w:val="605E5C"/>
      <w:shd w:val="clear" w:color="auto" w:fill="E1DFDD"/>
    </w:rPr>
  </w:style>
  <w:style w:type="paragraph" w:styleId="Revision">
    <w:name w:val="Revision"/>
    <w:hidden/>
    <w:uiPriority w:val="99"/>
    <w:semiHidden/>
    <w:rsid w:val="004A1E5A"/>
    <w:pPr>
      <w:spacing w:after="0" w:line="240" w:lineRule="auto"/>
    </w:pPr>
  </w:style>
  <w:style w:type="paragraph" w:styleId="Header">
    <w:name w:val="header"/>
    <w:basedOn w:val="Normal"/>
    <w:link w:val="HeaderChar"/>
    <w:uiPriority w:val="99"/>
    <w:unhideWhenUsed/>
    <w:rsid w:val="00F77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E5E"/>
  </w:style>
  <w:style w:type="paragraph" w:styleId="Footer">
    <w:name w:val="footer"/>
    <w:basedOn w:val="Normal"/>
    <w:link w:val="FooterChar"/>
    <w:uiPriority w:val="99"/>
    <w:unhideWhenUsed/>
    <w:rsid w:val="00F77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hritisaction.org.uk/somerset-nhs-foundation-trustlogo-2020/"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mailto:palliativecaresecretaries@somersetft.nhs.uk"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D07B5A-CF73-45AB-8F41-F8E035C0F69F}" type="doc">
      <dgm:prSet loTypeId="urn:microsoft.com/office/officeart/2005/8/layout/vProcess5" loCatId="process" qsTypeId="urn:microsoft.com/office/officeart/2005/8/quickstyle/simple1" qsCatId="simple" csTypeId="urn:microsoft.com/office/officeart/2005/8/colors/accent1_1" csCatId="accent1" phldr="1"/>
      <dgm:spPr/>
      <dgm:t>
        <a:bodyPr/>
        <a:lstStyle/>
        <a:p>
          <a:endParaRPr lang="en-GB"/>
        </a:p>
      </dgm:t>
    </dgm:pt>
    <dgm:pt modelId="{63CA70D4-1DB2-418F-A3AE-86AA051FAF0D}">
      <dgm:prSet phldrT="[Text]" custT="1"/>
      <dgm:spPr/>
      <dgm:t>
        <a:bodyPr/>
        <a:lstStyle/>
        <a:p>
          <a:pPr>
            <a:buNone/>
          </a:pPr>
          <a:r>
            <a:rPr lang="en-GB" sz="900" b="1"/>
            <a:t>Week 1</a:t>
          </a:r>
          <a:r>
            <a:rPr lang="en-GB" sz="900"/>
            <a:t>: MDT.  Pain, Radiology and Palliative Care senior medics review patients who are referred into the MDT. Cases are presented by people who know the patient, scans reviewed and options are discussed.  If suitable to consider an intervention, patients are seen virtually in </a:t>
          </a:r>
          <a:r>
            <a:rPr lang="en-GB" sz="900" b="1"/>
            <a:t>Week 2</a:t>
          </a:r>
        </a:p>
      </dgm:t>
    </dgm:pt>
    <dgm:pt modelId="{1C1B7E24-B0BB-4478-AEA6-27B05D010854}" type="parTrans" cxnId="{72771564-0CCD-4EDE-A230-06E22D3F01A0}">
      <dgm:prSet/>
      <dgm:spPr/>
      <dgm:t>
        <a:bodyPr/>
        <a:lstStyle/>
        <a:p>
          <a:endParaRPr lang="en-GB"/>
        </a:p>
      </dgm:t>
    </dgm:pt>
    <dgm:pt modelId="{B065208F-13E1-4B6A-8362-2BD40D2DC577}" type="sibTrans" cxnId="{72771564-0CCD-4EDE-A230-06E22D3F01A0}">
      <dgm:prSet/>
      <dgm:spPr/>
      <dgm:t>
        <a:bodyPr/>
        <a:lstStyle/>
        <a:p>
          <a:endParaRPr lang="en-GB"/>
        </a:p>
      </dgm:t>
    </dgm:pt>
    <dgm:pt modelId="{91E3DDB5-71EA-4B10-893A-2E25214CF229}">
      <dgm:prSet/>
      <dgm:spPr/>
      <dgm:t>
        <a:bodyPr/>
        <a:lstStyle/>
        <a:p>
          <a:pPr>
            <a:buNone/>
          </a:pPr>
          <a:r>
            <a:rPr lang="en-GB" b="1"/>
            <a:t>Week 2</a:t>
          </a:r>
          <a:r>
            <a:rPr lang="en-GB"/>
            <a:t>: preassessment clinic.  A pain and palliative care specialist will see the patient and discuss the options.  If they decide to proceed with the offered intervention it is usually undertaken in </a:t>
          </a:r>
          <a:r>
            <a:rPr lang="en-GB" b="1"/>
            <a:t>Week 3</a:t>
          </a:r>
          <a:endParaRPr lang="en-GB"/>
        </a:p>
      </dgm:t>
    </dgm:pt>
    <dgm:pt modelId="{28814F11-061F-45B3-B1C3-7DFB12393DCC}" type="parTrans" cxnId="{59226847-6EAF-4F7A-A714-5361C084AF48}">
      <dgm:prSet/>
      <dgm:spPr/>
      <dgm:t>
        <a:bodyPr/>
        <a:lstStyle/>
        <a:p>
          <a:endParaRPr lang="en-GB"/>
        </a:p>
      </dgm:t>
    </dgm:pt>
    <dgm:pt modelId="{19E9D241-727D-4F38-9F81-9B396B625E63}" type="sibTrans" cxnId="{59226847-6EAF-4F7A-A714-5361C084AF48}">
      <dgm:prSet/>
      <dgm:spPr/>
      <dgm:t>
        <a:bodyPr/>
        <a:lstStyle/>
        <a:p>
          <a:endParaRPr lang="en-GB"/>
        </a:p>
      </dgm:t>
    </dgm:pt>
    <dgm:pt modelId="{85EF38EB-B007-45D7-A5AC-61455D94D1DF}">
      <dgm:prSet/>
      <dgm:spPr/>
      <dgm:t>
        <a:bodyPr/>
        <a:lstStyle/>
        <a:p>
          <a:pPr>
            <a:buNone/>
          </a:pPr>
          <a:r>
            <a:rPr lang="en-GB" b="1"/>
            <a:t>Week 3</a:t>
          </a:r>
          <a:r>
            <a:rPr lang="en-GB"/>
            <a:t>: injection list</a:t>
          </a:r>
        </a:p>
      </dgm:t>
    </dgm:pt>
    <dgm:pt modelId="{A6631108-03A1-4373-AB4D-432D71259477}" type="parTrans" cxnId="{DCCA63B4-443B-45CE-B302-CB769C387DE8}">
      <dgm:prSet/>
      <dgm:spPr/>
      <dgm:t>
        <a:bodyPr/>
        <a:lstStyle/>
        <a:p>
          <a:endParaRPr lang="en-GB"/>
        </a:p>
      </dgm:t>
    </dgm:pt>
    <dgm:pt modelId="{E848B13A-6A20-41E6-86C0-5F57129B89F4}" type="sibTrans" cxnId="{DCCA63B4-443B-45CE-B302-CB769C387DE8}">
      <dgm:prSet/>
      <dgm:spPr/>
      <dgm:t>
        <a:bodyPr/>
        <a:lstStyle/>
        <a:p>
          <a:endParaRPr lang="en-GB"/>
        </a:p>
      </dgm:t>
    </dgm:pt>
    <dgm:pt modelId="{203CFF32-2E3A-47BB-8C0F-EF1934162DAD}">
      <dgm:prSet/>
      <dgm:spPr/>
      <dgm:t>
        <a:bodyPr/>
        <a:lstStyle/>
        <a:p>
          <a:pPr>
            <a:buNone/>
          </a:pPr>
          <a:r>
            <a:rPr lang="en-GB" b="1"/>
            <a:t>Week 4</a:t>
          </a:r>
          <a:r>
            <a:rPr lang="en-GB"/>
            <a:t>: patients are reviewed jointly by pain and palliative care to assess effect of intervention.</a:t>
          </a:r>
        </a:p>
      </dgm:t>
    </dgm:pt>
    <dgm:pt modelId="{42A89DE5-5E88-4255-8996-C31A1C0AE6F1}" type="parTrans" cxnId="{07EFDE3B-4BF3-44C5-B3BC-F1132866E4CC}">
      <dgm:prSet/>
      <dgm:spPr/>
      <dgm:t>
        <a:bodyPr/>
        <a:lstStyle/>
        <a:p>
          <a:endParaRPr lang="en-GB"/>
        </a:p>
      </dgm:t>
    </dgm:pt>
    <dgm:pt modelId="{F11C413B-4490-4462-94BC-2A0F4F4BD702}" type="sibTrans" cxnId="{07EFDE3B-4BF3-44C5-B3BC-F1132866E4CC}">
      <dgm:prSet/>
      <dgm:spPr/>
      <dgm:t>
        <a:bodyPr/>
        <a:lstStyle/>
        <a:p>
          <a:endParaRPr lang="en-GB"/>
        </a:p>
      </dgm:t>
    </dgm:pt>
    <dgm:pt modelId="{C8AD26D2-FB50-4E4C-AF73-342B9C30F7B0}" type="pres">
      <dgm:prSet presAssocID="{57D07B5A-CF73-45AB-8F41-F8E035C0F69F}" presName="outerComposite" presStyleCnt="0">
        <dgm:presLayoutVars>
          <dgm:chMax val="5"/>
          <dgm:dir/>
          <dgm:resizeHandles val="exact"/>
        </dgm:presLayoutVars>
      </dgm:prSet>
      <dgm:spPr/>
    </dgm:pt>
    <dgm:pt modelId="{428EEE5C-5C54-4CCC-8734-6F7DA255A5A1}" type="pres">
      <dgm:prSet presAssocID="{57D07B5A-CF73-45AB-8F41-F8E035C0F69F}" presName="dummyMaxCanvas" presStyleCnt="0">
        <dgm:presLayoutVars/>
      </dgm:prSet>
      <dgm:spPr/>
    </dgm:pt>
    <dgm:pt modelId="{C31A2234-F2ED-4B7E-AB09-7C6D2DDD9A9C}" type="pres">
      <dgm:prSet presAssocID="{57D07B5A-CF73-45AB-8F41-F8E035C0F69F}" presName="FourNodes_1" presStyleLbl="node1" presStyleIdx="0" presStyleCnt="4">
        <dgm:presLayoutVars>
          <dgm:bulletEnabled val="1"/>
        </dgm:presLayoutVars>
      </dgm:prSet>
      <dgm:spPr/>
    </dgm:pt>
    <dgm:pt modelId="{AF4E8A5F-245E-4180-8466-56AB5BCD12AB}" type="pres">
      <dgm:prSet presAssocID="{57D07B5A-CF73-45AB-8F41-F8E035C0F69F}" presName="FourNodes_2" presStyleLbl="node1" presStyleIdx="1" presStyleCnt="4">
        <dgm:presLayoutVars>
          <dgm:bulletEnabled val="1"/>
        </dgm:presLayoutVars>
      </dgm:prSet>
      <dgm:spPr/>
    </dgm:pt>
    <dgm:pt modelId="{E03A38E7-E84C-4DAF-8C51-869383740850}" type="pres">
      <dgm:prSet presAssocID="{57D07B5A-CF73-45AB-8F41-F8E035C0F69F}" presName="FourNodes_3" presStyleLbl="node1" presStyleIdx="2" presStyleCnt="4">
        <dgm:presLayoutVars>
          <dgm:bulletEnabled val="1"/>
        </dgm:presLayoutVars>
      </dgm:prSet>
      <dgm:spPr/>
    </dgm:pt>
    <dgm:pt modelId="{AE393A42-3C7A-4B52-87C9-A09E582BA8D6}" type="pres">
      <dgm:prSet presAssocID="{57D07B5A-CF73-45AB-8F41-F8E035C0F69F}" presName="FourNodes_4" presStyleLbl="node1" presStyleIdx="3" presStyleCnt="4">
        <dgm:presLayoutVars>
          <dgm:bulletEnabled val="1"/>
        </dgm:presLayoutVars>
      </dgm:prSet>
      <dgm:spPr/>
    </dgm:pt>
    <dgm:pt modelId="{EEA5ADFB-BDD2-4128-A930-7B73B1512E18}" type="pres">
      <dgm:prSet presAssocID="{57D07B5A-CF73-45AB-8F41-F8E035C0F69F}" presName="FourConn_1-2" presStyleLbl="fgAccFollowNode1" presStyleIdx="0" presStyleCnt="3">
        <dgm:presLayoutVars>
          <dgm:bulletEnabled val="1"/>
        </dgm:presLayoutVars>
      </dgm:prSet>
      <dgm:spPr/>
    </dgm:pt>
    <dgm:pt modelId="{AAF165E6-B978-4CB1-A08E-01DD6B76F152}" type="pres">
      <dgm:prSet presAssocID="{57D07B5A-CF73-45AB-8F41-F8E035C0F69F}" presName="FourConn_2-3" presStyleLbl="fgAccFollowNode1" presStyleIdx="1" presStyleCnt="3">
        <dgm:presLayoutVars>
          <dgm:bulletEnabled val="1"/>
        </dgm:presLayoutVars>
      </dgm:prSet>
      <dgm:spPr/>
    </dgm:pt>
    <dgm:pt modelId="{059149B0-C7E9-4052-AD8D-549F8F396AA1}" type="pres">
      <dgm:prSet presAssocID="{57D07B5A-CF73-45AB-8F41-F8E035C0F69F}" presName="FourConn_3-4" presStyleLbl="fgAccFollowNode1" presStyleIdx="2" presStyleCnt="3">
        <dgm:presLayoutVars>
          <dgm:bulletEnabled val="1"/>
        </dgm:presLayoutVars>
      </dgm:prSet>
      <dgm:spPr/>
    </dgm:pt>
    <dgm:pt modelId="{729195EA-032C-43E3-A6E8-8FDF8EC1F6D4}" type="pres">
      <dgm:prSet presAssocID="{57D07B5A-CF73-45AB-8F41-F8E035C0F69F}" presName="FourNodes_1_text" presStyleLbl="node1" presStyleIdx="3" presStyleCnt="4">
        <dgm:presLayoutVars>
          <dgm:bulletEnabled val="1"/>
        </dgm:presLayoutVars>
      </dgm:prSet>
      <dgm:spPr/>
    </dgm:pt>
    <dgm:pt modelId="{67EBA7A2-4E26-4782-8BBA-43396E3ACE46}" type="pres">
      <dgm:prSet presAssocID="{57D07B5A-CF73-45AB-8F41-F8E035C0F69F}" presName="FourNodes_2_text" presStyleLbl="node1" presStyleIdx="3" presStyleCnt="4">
        <dgm:presLayoutVars>
          <dgm:bulletEnabled val="1"/>
        </dgm:presLayoutVars>
      </dgm:prSet>
      <dgm:spPr/>
    </dgm:pt>
    <dgm:pt modelId="{1D66C5B5-62A7-4805-A9BE-FFFCBA1D79F1}" type="pres">
      <dgm:prSet presAssocID="{57D07B5A-CF73-45AB-8F41-F8E035C0F69F}" presName="FourNodes_3_text" presStyleLbl="node1" presStyleIdx="3" presStyleCnt="4">
        <dgm:presLayoutVars>
          <dgm:bulletEnabled val="1"/>
        </dgm:presLayoutVars>
      </dgm:prSet>
      <dgm:spPr/>
    </dgm:pt>
    <dgm:pt modelId="{B1A4FD47-762C-46BF-8AAE-B557417BF1D1}" type="pres">
      <dgm:prSet presAssocID="{57D07B5A-CF73-45AB-8F41-F8E035C0F69F}" presName="FourNodes_4_text" presStyleLbl="node1" presStyleIdx="3" presStyleCnt="4">
        <dgm:presLayoutVars>
          <dgm:bulletEnabled val="1"/>
        </dgm:presLayoutVars>
      </dgm:prSet>
      <dgm:spPr/>
    </dgm:pt>
  </dgm:ptLst>
  <dgm:cxnLst>
    <dgm:cxn modelId="{9FEDD105-0FA1-45AD-B86D-E44DC61C88A0}" type="presOf" srcId="{E848B13A-6A20-41E6-86C0-5F57129B89F4}" destId="{059149B0-C7E9-4052-AD8D-549F8F396AA1}" srcOrd="0" destOrd="0" presId="urn:microsoft.com/office/officeart/2005/8/layout/vProcess5"/>
    <dgm:cxn modelId="{F2A7150B-64A6-4B9C-A1E5-D4BB5EACE28D}" type="presOf" srcId="{203CFF32-2E3A-47BB-8C0F-EF1934162DAD}" destId="{B1A4FD47-762C-46BF-8AAE-B557417BF1D1}" srcOrd="1" destOrd="0" presId="urn:microsoft.com/office/officeart/2005/8/layout/vProcess5"/>
    <dgm:cxn modelId="{BFF28E2F-D784-4F84-8EA0-0CC2170A2D80}" type="presOf" srcId="{85EF38EB-B007-45D7-A5AC-61455D94D1DF}" destId="{E03A38E7-E84C-4DAF-8C51-869383740850}" srcOrd="0" destOrd="0" presId="urn:microsoft.com/office/officeart/2005/8/layout/vProcess5"/>
    <dgm:cxn modelId="{07EFDE3B-4BF3-44C5-B3BC-F1132866E4CC}" srcId="{57D07B5A-CF73-45AB-8F41-F8E035C0F69F}" destId="{203CFF32-2E3A-47BB-8C0F-EF1934162DAD}" srcOrd="3" destOrd="0" parTransId="{42A89DE5-5E88-4255-8996-C31A1C0AE6F1}" sibTransId="{F11C413B-4490-4462-94BC-2A0F4F4BD702}"/>
    <dgm:cxn modelId="{F0E4D463-3403-4D10-A9D8-6F9CB3C27C97}" type="presOf" srcId="{57D07B5A-CF73-45AB-8F41-F8E035C0F69F}" destId="{C8AD26D2-FB50-4E4C-AF73-342B9C30F7B0}" srcOrd="0" destOrd="0" presId="urn:microsoft.com/office/officeart/2005/8/layout/vProcess5"/>
    <dgm:cxn modelId="{72771564-0CCD-4EDE-A230-06E22D3F01A0}" srcId="{57D07B5A-CF73-45AB-8F41-F8E035C0F69F}" destId="{63CA70D4-1DB2-418F-A3AE-86AA051FAF0D}" srcOrd="0" destOrd="0" parTransId="{1C1B7E24-B0BB-4478-AEA6-27B05D010854}" sibTransId="{B065208F-13E1-4B6A-8362-2BD40D2DC577}"/>
    <dgm:cxn modelId="{59226847-6EAF-4F7A-A714-5361C084AF48}" srcId="{57D07B5A-CF73-45AB-8F41-F8E035C0F69F}" destId="{91E3DDB5-71EA-4B10-893A-2E25214CF229}" srcOrd="1" destOrd="0" parTransId="{28814F11-061F-45B3-B1C3-7DFB12393DCC}" sibTransId="{19E9D241-727D-4F38-9F81-9B396B625E63}"/>
    <dgm:cxn modelId="{EDA62A68-3D45-4A5E-BF48-1BB4ECF45782}" type="presOf" srcId="{85EF38EB-B007-45D7-A5AC-61455D94D1DF}" destId="{1D66C5B5-62A7-4805-A9BE-FFFCBA1D79F1}" srcOrd="1" destOrd="0" presId="urn:microsoft.com/office/officeart/2005/8/layout/vProcess5"/>
    <dgm:cxn modelId="{62778D6F-6C96-438E-A096-546FB0FB827F}" type="presOf" srcId="{B065208F-13E1-4B6A-8362-2BD40D2DC577}" destId="{EEA5ADFB-BDD2-4128-A930-7B73B1512E18}" srcOrd="0" destOrd="0" presId="urn:microsoft.com/office/officeart/2005/8/layout/vProcess5"/>
    <dgm:cxn modelId="{B6B3547F-A17B-4D17-AFBC-1BE27F6F6C97}" type="presOf" srcId="{91E3DDB5-71EA-4B10-893A-2E25214CF229}" destId="{AF4E8A5F-245E-4180-8466-56AB5BCD12AB}" srcOrd="0" destOrd="0" presId="urn:microsoft.com/office/officeart/2005/8/layout/vProcess5"/>
    <dgm:cxn modelId="{DFC6A181-A553-451A-B3D1-762E9DEF27A0}" type="presOf" srcId="{19E9D241-727D-4F38-9F81-9B396B625E63}" destId="{AAF165E6-B978-4CB1-A08E-01DD6B76F152}" srcOrd="0" destOrd="0" presId="urn:microsoft.com/office/officeart/2005/8/layout/vProcess5"/>
    <dgm:cxn modelId="{AB98B881-52F8-4809-9A4C-A78FEBDE4F47}" type="presOf" srcId="{203CFF32-2E3A-47BB-8C0F-EF1934162DAD}" destId="{AE393A42-3C7A-4B52-87C9-A09E582BA8D6}" srcOrd="0" destOrd="0" presId="urn:microsoft.com/office/officeart/2005/8/layout/vProcess5"/>
    <dgm:cxn modelId="{DCCA63B4-443B-45CE-B302-CB769C387DE8}" srcId="{57D07B5A-CF73-45AB-8F41-F8E035C0F69F}" destId="{85EF38EB-B007-45D7-A5AC-61455D94D1DF}" srcOrd="2" destOrd="0" parTransId="{A6631108-03A1-4373-AB4D-432D71259477}" sibTransId="{E848B13A-6A20-41E6-86C0-5F57129B89F4}"/>
    <dgm:cxn modelId="{213824ED-1B49-4A51-980F-42A6BD12E802}" type="presOf" srcId="{91E3DDB5-71EA-4B10-893A-2E25214CF229}" destId="{67EBA7A2-4E26-4782-8BBA-43396E3ACE46}" srcOrd="1" destOrd="0" presId="urn:microsoft.com/office/officeart/2005/8/layout/vProcess5"/>
    <dgm:cxn modelId="{DB5CA1F4-C5C7-4374-BB6C-FF3E34334E2B}" type="presOf" srcId="{63CA70D4-1DB2-418F-A3AE-86AA051FAF0D}" destId="{C31A2234-F2ED-4B7E-AB09-7C6D2DDD9A9C}" srcOrd="0" destOrd="0" presId="urn:microsoft.com/office/officeart/2005/8/layout/vProcess5"/>
    <dgm:cxn modelId="{DC9ACCF5-C769-450E-B9A8-111E10D1A63B}" type="presOf" srcId="{63CA70D4-1DB2-418F-A3AE-86AA051FAF0D}" destId="{729195EA-032C-43E3-A6E8-8FDF8EC1F6D4}" srcOrd="1" destOrd="0" presId="urn:microsoft.com/office/officeart/2005/8/layout/vProcess5"/>
    <dgm:cxn modelId="{C9F5654D-75BF-4680-AC8B-EF9A32BD5251}" type="presParOf" srcId="{C8AD26D2-FB50-4E4C-AF73-342B9C30F7B0}" destId="{428EEE5C-5C54-4CCC-8734-6F7DA255A5A1}" srcOrd="0" destOrd="0" presId="urn:microsoft.com/office/officeart/2005/8/layout/vProcess5"/>
    <dgm:cxn modelId="{FA37C828-A15B-4281-B084-B157B39F4D0E}" type="presParOf" srcId="{C8AD26D2-FB50-4E4C-AF73-342B9C30F7B0}" destId="{C31A2234-F2ED-4B7E-AB09-7C6D2DDD9A9C}" srcOrd="1" destOrd="0" presId="urn:microsoft.com/office/officeart/2005/8/layout/vProcess5"/>
    <dgm:cxn modelId="{836E2407-5BD0-4A6F-940A-3535D8F3FE70}" type="presParOf" srcId="{C8AD26D2-FB50-4E4C-AF73-342B9C30F7B0}" destId="{AF4E8A5F-245E-4180-8466-56AB5BCD12AB}" srcOrd="2" destOrd="0" presId="urn:microsoft.com/office/officeart/2005/8/layout/vProcess5"/>
    <dgm:cxn modelId="{29F15774-50C6-4169-B695-BFD532683888}" type="presParOf" srcId="{C8AD26D2-FB50-4E4C-AF73-342B9C30F7B0}" destId="{E03A38E7-E84C-4DAF-8C51-869383740850}" srcOrd="3" destOrd="0" presId="urn:microsoft.com/office/officeart/2005/8/layout/vProcess5"/>
    <dgm:cxn modelId="{011008A8-04B4-4403-A93E-7BC8DC778571}" type="presParOf" srcId="{C8AD26D2-FB50-4E4C-AF73-342B9C30F7B0}" destId="{AE393A42-3C7A-4B52-87C9-A09E582BA8D6}" srcOrd="4" destOrd="0" presId="urn:microsoft.com/office/officeart/2005/8/layout/vProcess5"/>
    <dgm:cxn modelId="{9C10161F-6C3D-4914-B671-1EB4F80B887C}" type="presParOf" srcId="{C8AD26D2-FB50-4E4C-AF73-342B9C30F7B0}" destId="{EEA5ADFB-BDD2-4128-A930-7B73B1512E18}" srcOrd="5" destOrd="0" presId="urn:microsoft.com/office/officeart/2005/8/layout/vProcess5"/>
    <dgm:cxn modelId="{BC2B1EB7-9B00-4C3B-8476-8EB1A722970A}" type="presParOf" srcId="{C8AD26D2-FB50-4E4C-AF73-342B9C30F7B0}" destId="{AAF165E6-B978-4CB1-A08E-01DD6B76F152}" srcOrd="6" destOrd="0" presId="urn:microsoft.com/office/officeart/2005/8/layout/vProcess5"/>
    <dgm:cxn modelId="{87A06ED7-AC44-42A9-A4CE-405D3640B878}" type="presParOf" srcId="{C8AD26D2-FB50-4E4C-AF73-342B9C30F7B0}" destId="{059149B0-C7E9-4052-AD8D-549F8F396AA1}" srcOrd="7" destOrd="0" presId="urn:microsoft.com/office/officeart/2005/8/layout/vProcess5"/>
    <dgm:cxn modelId="{99B5887C-8BFA-493F-95C0-DA07365FA8E9}" type="presParOf" srcId="{C8AD26D2-FB50-4E4C-AF73-342B9C30F7B0}" destId="{729195EA-032C-43E3-A6E8-8FDF8EC1F6D4}" srcOrd="8" destOrd="0" presId="urn:microsoft.com/office/officeart/2005/8/layout/vProcess5"/>
    <dgm:cxn modelId="{CB622888-5A2A-415D-882A-726E51B0292F}" type="presParOf" srcId="{C8AD26D2-FB50-4E4C-AF73-342B9C30F7B0}" destId="{67EBA7A2-4E26-4782-8BBA-43396E3ACE46}" srcOrd="9" destOrd="0" presId="urn:microsoft.com/office/officeart/2005/8/layout/vProcess5"/>
    <dgm:cxn modelId="{0BADF41D-1E60-40C9-8E5E-BA73F860B248}" type="presParOf" srcId="{C8AD26D2-FB50-4E4C-AF73-342B9C30F7B0}" destId="{1D66C5B5-62A7-4805-A9BE-FFFCBA1D79F1}" srcOrd="10" destOrd="0" presId="urn:microsoft.com/office/officeart/2005/8/layout/vProcess5"/>
    <dgm:cxn modelId="{CE9D32DA-0294-4D68-A810-65301156A402}" type="presParOf" srcId="{C8AD26D2-FB50-4E4C-AF73-342B9C30F7B0}" destId="{B1A4FD47-762C-46BF-8AAE-B557417BF1D1}" srcOrd="11"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1A2234-F2ED-4B7E-AB09-7C6D2DDD9A9C}">
      <dsp:nvSpPr>
        <dsp:cNvPr id="0" name=""/>
        <dsp:cNvSpPr/>
      </dsp:nvSpPr>
      <dsp:spPr>
        <a:xfrm>
          <a:off x="0" y="0"/>
          <a:ext cx="4389120" cy="70408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GB" sz="900" b="1" kern="1200"/>
            <a:t>Week 1</a:t>
          </a:r>
          <a:r>
            <a:rPr lang="en-GB" sz="900" kern="1200"/>
            <a:t>: MDT.  Pain, Radiology and Palliative Care senior medics review patients who are referred into the MDT. Cases are presented by people who know the patient, scans reviewed and options are discussed.  If suitable to consider an intervention, patients are seen virtually in </a:t>
          </a:r>
          <a:r>
            <a:rPr lang="en-GB" sz="900" b="1" kern="1200"/>
            <a:t>Week 2</a:t>
          </a:r>
        </a:p>
      </dsp:txBody>
      <dsp:txXfrm>
        <a:off x="20622" y="20622"/>
        <a:ext cx="3569858" cy="662844"/>
      </dsp:txXfrm>
    </dsp:sp>
    <dsp:sp modelId="{AF4E8A5F-245E-4180-8466-56AB5BCD12AB}">
      <dsp:nvSpPr>
        <dsp:cNvPr id="0" name=""/>
        <dsp:cNvSpPr/>
      </dsp:nvSpPr>
      <dsp:spPr>
        <a:xfrm>
          <a:off x="367588" y="832104"/>
          <a:ext cx="4389120" cy="70408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GB" sz="1000" b="1" kern="1200"/>
            <a:t>Week 2</a:t>
          </a:r>
          <a:r>
            <a:rPr lang="en-GB" sz="1000" kern="1200"/>
            <a:t>: preassessment clinic.  A pain and palliative care specialist will see the patient and discuss the options.  If they decide to proceed with the offered intervention it is usually undertaken in </a:t>
          </a:r>
          <a:r>
            <a:rPr lang="en-GB" sz="1000" b="1" kern="1200"/>
            <a:t>Week 3</a:t>
          </a:r>
          <a:endParaRPr lang="en-GB" sz="1000" kern="1200"/>
        </a:p>
      </dsp:txBody>
      <dsp:txXfrm>
        <a:off x="388210" y="852726"/>
        <a:ext cx="3522630" cy="662844"/>
      </dsp:txXfrm>
    </dsp:sp>
    <dsp:sp modelId="{E03A38E7-E84C-4DAF-8C51-869383740850}">
      <dsp:nvSpPr>
        <dsp:cNvPr id="0" name=""/>
        <dsp:cNvSpPr/>
      </dsp:nvSpPr>
      <dsp:spPr>
        <a:xfrm>
          <a:off x="729691" y="1664208"/>
          <a:ext cx="4389120" cy="70408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GB" sz="1000" b="1" kern="1200"/>
            <a:t>Week 3</a:t>
          </a:r>
          <a:r>
            <a:rPr lang="en-GB" sz="1000" kern="1200"/>
            <a:t>: injection list</a:t>
          </a:r>
        </a:p>
      </dsp:txBody>
      <dsp:txXfrm>
        <a:off x="750313" y="1684830"/>
        <a:ext cx="3528116" cy="662844"/>
      </dsp:txXfrm>
    </dsp:sp>
    <dsp:sp modelId="{AE393A42-3C7A-4B52-87C9-A09E582BA8D6}">
      <dsp:nvSpPr>
        <dsp:cNvPr id="0" name=""/>
        <dsp:cNvSpPr/>
      </dsp:nvSpPr>
      <dsp:spPr>
        <a:xfrm>
          <a:off x="1097279" y="2496312"/>
          <a:ext cx="4389120" cy="70408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GB" sz="1000" b="1" kern="1200"/>
            <a:t>Week 4</a:t>
          </a:r>
          <a:r>
            <a:rPr lang="en-GB" sz="1000" kern="1200"/>
            <a:t>: patients are reviewed jointly by pain and palliative care to assess effect of intervention.</a:t>
          </a:r>
        </a:p>
      </dsp:txBody>
      <dsp:txXfrm>
        <a:off x="1117901" y="2516934"/>
        <a:ext cx="3522630" cy="662844"/>
      </dsp:txXfrm>
    </dsp:sp>
    <dsp:sp modelId="{EEA5ADFB-BDD2-4128-A930-7B73B1512E18}">
      <dsp:nvSpPr>
        <dsp:cNvPr id="0" name=""/>
        <dsp:cNvSpPr/>
      </dsp:nvSpPr>
      <dsp:spPr>
        <a:xfrm>
          <a:off x="3931462" y="539267"/>
          <a:ext cx="457657" cy="457657"/>
        </a:xfrm>
        <a:prstGeom prst="downArrow">
          <a:avLst>
            <a:gd name="adj1" fmla="val 55000"/>
            <a:gd name="adj2" fmla="val 45000"/>
          </a:avLst>
        </a:prstGeom>
        <a:solidFill>
          <a:schemeClr val="lt1">
            <a:alpha val="90000"/>
            <a:tint val="40000"/>
            <a:hueOff val="0"/>
            <a:satOff val="0"/>
            <a:lumOff val="0"/>
            <a:alphaOff val="0"/>
          </a:schemeClr>
        </a:solidFill>
        <a:ln w="1905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a:off x="4034435" y="539267"/>
        <a:ext cx="251711" cy="344387"/>
      </dsp:txXfrm>
    </dsp:sp>
    <dsp:sp modelId="{AAF165E6-B978-4CB1-A08E-01DD6B76F152}">
      <dsp:nvSpPr>
        <dsp:cNvPr id="0" name=""/>
        <dsp:cNvSpPr/>
      </dsp:nvSpPr>
      <dsp:spPr>
        <a:xfrm>
          <a:off x="4299051" y="1371371"/>
          <a:ext cx="457657" cy="457657"/>
        </a:xfrm>
        <a:prstGeom prst="downArrow">
          <a:avLst>
            <a:gd name="adj1" fmla="val 55000"/>
            <a:gd name="adj2" fmla="val 45000"/>
          </a:avLst>
        </a:prstGeom>
        <a:solidFill>
          <a:schemeClr val="lt1">
            <a:alpha val="90000"/>
            <a:tint val="40000"/>
            <a:hueOff val="0"/>
            <a:satOff val="0"/>
            <a:lumOff val="0"/>
            <a:alphaOff val="0"/>
          </a:schemeClr>
        </a:solidFill>
        <a:ln w="1905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a:off x="4402024" y="1371371"/>
        <a:ext cx="251711" cy="344387"/>
      </dsp:txXfrm>
    </dsp:sp>
    <dsp:sp modelId="{059149B0-C7E9-4052-AD8D-549F8F396AA1}">
      <dsp:nvSpPr>
        <dsp:cNvPr id="0" name=""/>
        <dsp:cNvSpPr/>
      </dsp:nvSpPr>
      <dsp:spPr>
        <a:xfrm>
          <a:off x="4661154" y="2203475"/>
          <a:ext cx="457657" cy="457657"/>
        </a:xfrm>
        <a:prstGeom prst="downArrow">
          <a:avLst>
            <a:gd name="adj1" fmla="val 55000"/>
            <a:gd name="adj2" fmla="val 45000"/>
          </a:avLst>
        </a:prstGeom>
        <a:solidFill>
          <a:schemeClr val="lt1">
            <a:alpha val="90000"/>
            <a:tint val="40000"/>
            <a:hueOff val="0"/>
            <a:satOff val="0"/>
            <a:lumOff val="0"/>
            <a:alphaOff val="0"/>
          </a:schemeClr>
        </a:solidFill>
        <a:ln w="1905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a:off x="4764127" y="2203475"/>
        <a:ext cx="251711" cy="344387"/>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1086</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Leask</dc:creator>
  <cp:keywords/>
  <dc:description/>
  <cp:lastModifiedBy>Laura James</cp:lastModifiedBy>
  <cp:revision>3</cp:revision>
  <dcterms:created xsi:type="dcterms:W3CDTF">2026-01-08T14:19:00Z</dcterms:created>
  <dcterms:modified xsi:type="dcterms:W3CDTF">2026-01-08T14:20:00Z</dcterms:modified>
</cp:coreProperties>
</file>